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ind w:hanging="993" w:left="993" w:right="0"/>
        <w:jc w:val="center"/>
      </w:pPr>
      <w:r>
        <w:rPr>
          <w:rFonts w:ascii="Arial" w:hAnsi="Arial"/>
          <w:b/>
          <w:sz w:val="24"/>
          <w:szCs w:val="24"/>
        </w:rPr>
        <w:t>Curso de Extensão - HABITAR A CIDADE – Prof.  Dr. Werther Holzer (UFF)</w:t>
      </w:r>
    </w:p>
    <w:p>
      <w:pPr>
        <w:pStyle w:val="style0"/>
        <w:ind w:hanging="993" w:left="993" w:right="0"/>
        <w:jc w:val="center"/>
      </w:pPr>
      <w:r>
        <w:rPr>
          <w:rFonts w:ascii="Arial" w:hAnsi="Arial"/>
          <w:b/>
          <w:sz w:val="24"/>
          <w:szCs w:val="24"/>
        </w:rPr>
      </w:r>
    </w:p>
    <w:p>
      <w:pPr>
        <w:pStyle w:val="style0"/>
        <w:jc w:val="both"/>
      </w:pPr>
      <w:r>
        <w:rPr>
          <w:rFonts w:ascii="Arial" w:hAnsi="Arial"/>
          <w:sz w:val="24"/>
          <w:szCs w:val="24"/>
        </w:rPr>
        <w:t xml:space="preserve">O curso de extensão de 15 horas é promoção conjunta do Centro de Ciências Humanas e Letras, do Programa de Pós-graduação em Filosofia e do Programa de Pós-Graduação em Geografia da UFPI. </w:t>
      </w:r>
    </w:p>
    <w:p>
      <w:pPr>
        <w:pStyle w:val="style0"/>
        <w:jc w:val="both"/>
      </w:pPr>
      <w:r>
        <w:rPr>
          <w:rFonts w:ascii="Arial" w:hAnsi="Arial"/>
          <w:sz w:val="24"/>
          <w:szCs w:val="24"/>
        </w:rPr>
        <w:t>As inscrições serão realizadas entre os dias 28 de maio e 04 de junho pelo link:</w:t>
      </w:r>
    </w:p>
    <w:p>
      <w:pPr>
        <w:pStyle w:val="style0"/>
        <w:jc w:val="both"/>
      </w:pPr>
      <w:r>
        <w:rPr>
          <w:rFonts w:ascii="Arial" w:hAnsi="Arial"/>
          <w:sz w:val="24"/>
          <w:szCs w:val="24"/>
        </w:rPr>
      </w:r>
    </w:p>
    <w:p>
      <w:pPr>
        <w:pStyle w:val="style0"/>
        <w:jc w:val="both"/>
      </w:pPr>
      <w:r>
        <w:rPr>
          <w:rFonts w:ascii="Arial" w:hAnsi="Arial"/>
          <w:sz w:val="24"/>
          <w:szCs w:val="24"/>
        </w:rPr>
        <w:t>Serão disponibilizadas 45 vagas para a comunidade.</w:t>
      </w:r>
    </w:p>
    <w:p>
      <w:pPr>
        <w:pStyle w:val="style0"/>
        <w:jc w:val="both"/>
      </w:pPr>
      <w:r>
        <w:rPr>
          <w:rFonts w:ascii="Arial" w:hAnsi="Arial"/>
          <w:sz w:val="24"/>
          <w:szCs w:val="24"/>
        </w:rPr>
      </w:r>
    </w:p>
    <w:p>
      <w:pPr>
        <w:pStyle w:val="style0"/>
        <w:jc w:val="both"/>
      </w:pPr>
      <w:bookmarkStart w:id="0" w:name="_GoBack"/>
      <w:bookmarkEnd w:id="0"/>
      <w:r>
        <w:rPr>
          <w:rFonts w:ascii="Arial" w:hAnsi="Arial"/>
          <w:sz w:val="24"/>
          <w:szCs w:val="24"/>
        </w:rPr>
        <w:t>DADOS DO CURSO:</w:t>
      </w:r>
    </w:p>
    <w:p>
      <w:pPr>
        <w:pStyle w:val="style0"/>
        <w:ind w:hanging="993" w:left="993" w:right="0"/>
        <w:jc w:val="center"/>
      </w:pPr>
      <w:r>
        <w:rPr>
          <w:rFonts w:ascii="Arial" w:hAnsi="Arial"/>
          <w:b/>
          <w:sz w:val="24"/>
          <w:szCs w:val="24"/>
        </w:rPr>
      </w:r>
    </w:p>
    <w:p>
      <w:pPr>
        <w:pStyle w:val="style23"/>
        <w:shd w:fill="FFFFFF" w:val="clear"/>
        <w:spacing w:after="28" w:before="28"/>
        <w:contextualSpacing w:val="false"/>
        <w:jc w:val="both"/>
        <w:textAlignment w:val="baseline"/>
      </w:pPr>
      <w:r>
        <w:rPr>
          <w:rFonts w:ascii="Arial" w:cs="Arial" w:hAnsi="Arial"/>
          <w:b/>
          <w:lang w:val="es-CO"/>
        </w:rPr>
        <w:t>Introdução/Justificativa</w:t>
      </w:r>
      <w:r>
        <w:rPr>
          <w:rStyle w:val="style17"/>
          <w:rFonts w:ascii="Arial" w:cs="Arial" w:hAnsi="Arial"/>
          <w:lang w:val="es-CO"/>
        </w:rPr>
        <w:t xml:space="preserve">: O conceito de habitar será investigado a partir de um aporte teórico fenomenológico seguindo autores que tratam do corpo, do espaço e do lugar, para em seguida refletir acerca das possibilidades da prática da arquitetura e do urbanismo partindo de uma crítica à oposição entre cidade e ambiente e, consequentemente, dos </w:t>
      </w:r>
      <w:r>
        <w:rPr>
          <w:rFonts w:ascii="Arial" w:cs="Arial" w:hAnsi="Arial"/>
          <w:lang w:val="es-CO"/>
        </w:rPr>
        <w:t>problemas ambientais e seus efeitos no planejamento urbano. Para tanto, a reflexão está dirigida às possibilidades de um desenho de caráter fenomenológico na arquitetura e no urbanismo, frente a uma ecofenomenologia, que possa apoiar um planejamento ambiental</w:t>
      </w:r>
      <w:r>
        <w:rPr>
          <w:rStyle w:val="style17"/>
          <w:rFonts w:ascii="Arial" w:cs="Arial" w:hAnsi="Arial"/>
          <w:lang w:val="es-CO"/>
        </w:rPr>
        <w:t xml:space="preserve"> que respeite o conhecimento e o saber popular. </w:t>
      </w:r>
    </w:p>
    <w:p>
      <w:pPr>
        <w:pStyle w:val="style0"/>
        <w:jc w:val="both"/>
      </w:pPr>
      <w:r>
        <w:rPr>
          <w:rFonts w:ascii="Arial" w:cs="Arial" w:hAnsi="Arial"/>
          <w:b/>
          <w:sz w:val="24"/>
          <w:szCs w:val="24"/>
          <w:lang w:val="es-CO"/>
        </w:rPr>
        <w:t>Objetivo:</w:t>
      </w:r>
      <w:r>
        <w:rPr>
          <w:rFonts w:ascii="Arial" w:cs="Arial" w:hAnsi="Arial"/>
          <w:sz w:val="24"/>
          <w:szCs w:val="24"/>
          <w:lang w:val="es-CO"/>
        </w:rPr>
        <w:t xml:space="preserve"> Discutir os diferentes aspectos ontológicos, epistemológicos e metodológicos implicados no tema do ambiente urbano e do planejamento ambiental.</w:t>
      </w:r>
    </w:p>
    <w:p>
      <w:pPr>
        <w:pStyle w:val="style0"/>
        <w:ind w:hanging="993" w:left="993" w:right="0"/>
        <w:jc w:val="center"/>
      </w:pPr>
      <w:r>
        <w:rPr>
          <w:rFonts w:ascii="Arial" w:hAnsi="Arial"/>
          <w:b/>
          <w:sz w:val="24"/>
          <w:szCs w:val="24"/>
          <w:lang w:val="es-CO"/>
        </w:rPr>
      </w:r>
    </w:p>
    <w:p>
      <w:pPr>
        <w:pStyle w:val="style0"/>
        <w:jc w:val="both"/>
      </w:pPr>
      <w:r>
        <w:rPr>
          <w:rFonts w:ascii="Arial" w:hAnsi="Arial"/>
          <w:sz w:val="24"/>
          <w:szCs w:val="24"/>
        </w:rPr>
      </w:r>
    </w:p>
    <w:p>
      <w:pPr>
        <w:pStyle w:val="style0"/>
        <w:jc w:val="both"/>
      </w:pPr>
      <w:r>
        <w:rPr>
          <w:rFonts w:ascii="Arial" w:hAnsi="Arial"/>
          <w:b/>
          <w:sz w:val="24"/>
          <w:szCs w:val="24"/>
        </w:rPr>
        <w:t>Programação das aulas:</w:t>
      </w:r>
    </w:p>
    <w:p>
      <w:pPr>
        <w:pStyle w:val="style0"/>
        <w:jc w:val="both"/>
      </w:pPr>
      <w:r>
        <w:rPr>
          <w:rFonts w:ascii="Arial" w:hAnsi="Arial"/>
          <w:sz w:val="24"/>
          <w:szCs w:val="24"/>
        </w:rPr>
        <w:t xml:space="preserve">   </w:t>
      </w:r>
    </w:p>
    <w:tbl>
      <w:tblPr>
        <w:jc w:val="left"/>
        <w:tblInd w:type="dxa" w:w="0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2055"/>
        <w:gridCol w:w="6588"/>
      </w:tblGrid>
      <w:tr>
        <w:trPr>
          <w:cantSplit w:val="false"/>
        </w:trPr>
        <w:tc>
          <w:tcPr>
            <w:tcW w:type="dxa" w:w="205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8"/>
            </w:tcMar>
          </w:tcPr>
          <w:p>
            <w:pPr>
              <w:pStyle w:val="style0"/>
              <w:jc w:val="both"/>
            </w:pPr>
            <w:r>
              <w:rPr>
                <w:rFonts w:ascii="Arial" w:hAnsi="Arial"/>
                <w:sz w:val="24"/>
                <w:szCs w:val="24"/>
              </w:rPr>
              <w:t>1ª aula – 05/06</w:t>
            </w:r>
          </w:p>
        </w:tc>
        <w:tc>
          <w:tcPr>
            <w:tcW w:type="dxa" w:w="658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8"/>
            </w:tcMar>
          </w:tcPr>
          <w:p>
            <w:pPr>
              <w:pStyle w:val="style0"/>
              <w:jc w:val="both"/>
            </w:pPr>
            <w:r>
              <w:rPr>
                <w:rFonts w:ascii="Arial" w:hAnsi="Arial"/>
                <w:sz w:val="24"/>
                <w:szCs w:val="24"/>
              </w:rPr>
              <w:t>Fundamentos da fenomenologia. O corpo e o Espaço (Merleau-Ponty). O que é habitar? (Heidegger).</w:t>
            </w:r>
          </w:p>
        </w:tc>
      </w:tr>
      <w:tr>
        <w:trPr>
          <w:cantSplit w:val="false"/>
        </w:trPr>
        <w:tc>
          <w:tcPr>
            <w:tcW w:type="dxa" w:w="205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8"/>
            </w:tcMar>
          </w:tcPr>
          <w:p>
            <w:pPr>
              <w:pStyle w:val="style0"/>
              <w:jc w:val="both"/>
            </w:pPr>
            <w:r>
              <w:rPr>
                <w:rFonts w:ascii="Arial" w:hAnsi="Arial"/>
                <w:sz w:val="24"/>
                <w:szCs w:val="24"/>
              </w:rPr>
              <w:t>2ª aula – 06/06</w:t>
            </w:r>
          </w:p>
        </w:tc>
        <w:tc>
          <w:tcPr>
            <w:tcW w:type="dxa" w:w="658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8"/>
            </w:tcMar>
          </w:tcPr>
          <w:p>
            <w:pPr>
              <w:pStyle w:val="style0"/>
              <w:jc w:val="both"/>
            </w:pPr>
            <w:r>
              <w:rPr>
                <w:rFonts w:ascii="Arial" w:hAnsi="Arial"/>
                <w:sz w:val="24"/>
                <w:szCs w:val="24"/>
              </w:rPr>
              <w:t>Lugar (Tuan, Norberg-Schulz) A cidade como antítese da natureza (Tuan, Wasiak).</w:t>
            </w:r>
          </w:p>
        </w:tc>
      </w:tr>
      <w:tr>
        <w:trPr>
          <w:cantSplit w:val="false"/>
        </w:trPr>
        <w:tc>
          <w:tcPr>
            <w:tcW w:type="dxa" w:w="205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8"/>
            </w:tcMar>
          </w:tcPr>
          <w:p>
            <w:pPr>
              <w:pStyle w:val="style0"/>
              <w:jc w:val="both"/>
            </w:pPr>
            <w:r>
              <w:rPr>
                <w:rFonts w:ascii="Arial" w:hAnsi="Arial"/>
                <w:sz w:val="24"/>
                <w:szCs w:val="24"/>
              </w:rPr>
              <w:t>3ª aula -  07/06</w:t>
            </w:r>
          </w:p>
        </w:tc>
        <w:tc>
          <w:tcPr>
            <w:tcW w:type="dxa" w:w="658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8"/>
            </w:tcMar>
          </w:tcPr>
          <w:p>
            <w:pPr>
              <w:pStyle w:val="style0"/>
              <w:jc w:val="both"/>
            </w:pPr>
            <w:r>
              <w:rPr>
                <w:rFonts w:ascii="Arial" w:hAnsi="Arial"/>
                <w:sz w:val="24"/>
                <w:szCs w:val="24"/>
              </w:rPr>
              <w:t>Fenomenologia e Pós-Modernismo na arquitetura (Otero-Paillos). Fenomenologia, lugar e ambiente (Pallasmaa)</w:t>
            </w:r>
          </w:p>
        </w:tc>
      </w:tr>
      <w:tr>
        <w:trPr>
          <w:cantSplit w:val="false"/>
        </w:trPr>
        <w:tc>
          <w:tcPr>
            <w:tcW w:type="dxa" w:w="205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8"/>
            </w:tcMar>
          </w:tcPr>
          <w:p>
            <w:pPr>
              <w:pStyle w:val="style0"/>
              <w:jc w:val="both"/>
            </w:pPr>
            <w:r>
              <w:rPr>
                <w:rFonts w:ascii="Arial" w:hAnsi="Arial"/>
                <w:sz w:val="24"/>
                <w:szCs w:val="24"/>
              </w:rPr>
              <w:t>4ª aula -  08/06</w:t>
            </w:r>
          </w:p>
        </w:tc>
        <w:tc>
          <w:tcPr>
            <w:tcW w:type="dxa" w:w="658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8"/>
            </w:tcMar>
          </w:tcPr>
          <w:p>
            <w:pPr>
              <w:pStyle w:val="style0"/>
              <w:jc w:val="both"/>
            </w:pPr>
            <w:r>
              <w:rPr>
                <w:rFonts w:ascii="Arial" w:hAnsi="Arial"/>
                <w:sz w:val="24"/>
                <w:szCs w:val="24"/>
              </w:rPr>
              <w:t>Ecofenomenologia. Planejamento ambiental, um novo urbanismo?</w:t>
            </w:r>
          </w:p>
        </w:tc>
      </w:tr>
    </w:tbl>
    <w:p>
      <w:pPr>
        <w:pStyle w:val="style0"/>
      </w:pPr>
      <w:r>
        <w:rPr>
          <w:rFonts w:ascii="Arial" w:hAnsi="Arial"/>
          <w:sz w:val="24"/>
          <w:szCs w:val="24"/>
        </w:rPr>
      </w:r>
    </w:p>
    <w:p>
      <w:pPr>
        <w:pStyle w:val="style0"/>
      </w:pPr>
      <w:r>
        <w:rPr>
          <w:rFonts w:ascii="Arial" w:cs="Arial" w:hAnsi="Arial"/>
          <w:b/>
          <w:sz w:val="24"/>
          <w:szCs w:val="24"/>
        </w:rPr>
        <w:t>Bibliografia</w:t>
      </w:r>
    </w:p>
    <w:p>
      <w:pPr>
        <w:pStyle w:val="style0"/>
      </w:pPr>
      <w:r>
        <w:rPr>
          <w:rFonts w:ascii="Arial" w:cs="Arial" w:hAnsi="Arial"/>
          <w:b/>
          <w:sz w:val="24"/>
          <w:szCs w:val="24"/>
        </w:rPr>
      </w:r>
    </w:p>
    <w:p>
      <w:pPr>
        <w:pStyle w:val="style0"/>
        <w:jc w:val="both"/>
      </w:pPr>
      <w:r>
        <w:rPr>
          <w:rFonts w:ascii="Arial" w:cs="Arial" w:hAnsi="Arial"/>
          <w:sz w:val="24"/>
          <w:szCs w:val="24"/>
          <w:lang w:val="es-CO"/>
        </w:rPr>
        <w:t>BROWN, Charles S. &amp; TOADVINE, Ted</w:t>
      </w:r>
      <w:r>
        <w:rPr>
          <w:rFonts w:ascii="Arial" w:cs="Arial" w:hAnsi="Arial"/>
          <w:b/>
          <w:sz w:val="24"/>
          <w:szCs w:val="24"/>
          <w:lang w:val="es-CO"/>
        </w:rPr>
        <w:t xml:space="preserve">. Eco-Phenomenology: back to the Earth itself. </w:t>
      </w:r>
      <w:r>
        <w:rPr>
          <w:rFonts w:ascii="Arial" w:cs="Arial" w:hAnsi="Arial"/>
          <w:sz w:val="24"/>
          <w:szCs w:val="24"/>
          <w:lang w:val="en-US"/>
        </w:rPr>
        <w:t>Albany, State University of New York Press, 2003</w:t>
      </w:r>
      <w:r>
        <w:rPr>
          <w:rFonts w:ascii="Arial" w:cs="Arial" w:hAnsi="Arial"/>
          <w:b/>
          <w:sz w:val="24"/>
          <w:szCs w:val="24"/>
          <w:lang w:val="en-US"/>
        </w:rPr>
        <w:t>.</w:t>
      </w:r>
    </w:p>
    <w:p>
      <w:pPr>
        <w:pStyle w:val="style0"/>
        <w:jc w:val="both"/>
      </w:pPr>
      <w:r>
        <w:rPr>
          <w:rFonts w:ascii="Arial" w:cs="Arial" w:hAnsi="Arial"/>
          <w:b/>
          <w:sz w:val="24"/>
          <w:szCs w:val="24"/>
          <w:lang w:val="en-US"/>
        </w:rPr>
      </w:r>
    </w:p>
    <w:p>
      <w:pPr>
        <w:pStyle w:val="style2"/>
        <w:shd w:fill="FFFFFF" w:val="clear"/>
        <w:spacing w:after="28" w:before="28" w:line="264" w:lineRule="atLeast"/>
        <w:contextualSpacing w:val="false"/>
        <w:jc w:val="both"/>
      </w:pPr>
      <w:r>
        <w:rPr>
          <w:rFonts w:ascii="Arial" w:cs="Arial" w:hAnsi="Arial"/>
          <w:b w:val="false"/>
          <w:sz w:val="24"/>
          <w:szCs w:val="24"/>
          <w:lang w:val="en-US"/>
        </w:rPr>
        <w:t xml:space="preserve">HEIDEGGER, Martin. </w:t>
      </w:r>
      <w:r>
        <w:rPr>
          <w:rFonts w:ascii="Arial" w:cs="Arial" w:hAnsi="Arial"/>
          <w:sz w:val="24"/>
          <w:szCs w:val="24"/>
        </w:rPr>
        <w:t>Construir Habitar Pensar</w:t>
      </w:r>
      <w:r>
        <w:rPr>
          <w:rFonts w:ascii="Arial" w:cs="Arial" w:hAnsi="Arial"/>
          <w:b w:val="false"/>
          <w:sz w:val="24"/>
          <w:szCs w:val="24"/>
        </w:rPr>
        <w:t>. Disponível em http://www.fau.usp.br/wp-content/uploads/2016/12/heidegger_construir_habitar_pensar.pdf</w:t>
      </w:r>
    </w:p>
    <w:p>
      <w:pPr>
        <w:pStyle w:val="style0"/>
        <w:jc w:val="both"/>
      </w:pPr>
      <w:r>
        <w:rPr>
          <w:rFonts w:ascii="Arial" w:cs="Arial" w:hAnsi="Arial"/>
          <w:sz w:val="24"/>
          <w:szCs w:val="24"/>
          <w:lang w:val="es-CO"/>
        </w:rPr>
        <w:t xml:space="preserve">MERLEAU-PONTY, Maurice. </w:t>
      </w:r>
      <w:r>
        <w:rPr>
          <w:rFonts w:ascii="Arial" w:cs="Arial" w:hAnsi="Arial"/>
          <w:b/>
          <w:sz w:val="24"/>
          <w:szCs w:val="24"/>
          <w:lang w:val="es-CO"/>
        </w:rPr>
        <w:t>Fenomenologia da Percepção</w:t>
      </w:r>
      <w:r>
        <w:rPr>
          <w:rFonts w:ascii="Arial" w:cs="Arial" w:hAnsi="Arial"/>
          <w:sz w:val="24"/>
          <w:szCs w:val="24"/>
          <w:lang w:val="es-CO"/>
        </w:rPr>
        <w:t>. São Paulo, Martins Fontes, 1999.</w:t>
      </w:r>
    </w:p>
    <w:p>
      <w:pPr>
        <w:pStyle w:val="style0"/>
        <w:jc w:val="both"/>
      </w:pPr>
      <w:r>
        <w:rPr>
          <w:rFonts w:ascii="Arial" w:cs="Arial" w:hAnsi="Arial"/>
          <w:sz w:val="24"/>
          <w:szCs w:val="24"/>
          <w:lang w:val="es-CO"/>
        </w:rPr>
      </w:r>
    </w:p>
    <w:p>
      <w:pPr>
        <w:pStyle w:val="style0"/>
        <w:jc w:val="both"/>
      </w:pPr>
      <w:r>
        <w:rPr>
          <w:rFonts w:ascii="Arial" w:cs="Arial" w:hAnsi="Arial"/>
          <w:sz w:val="24"/>
          <w:szCs w:val="24"/>
          <w:lang w:val="en-US"/>
        </w:rPr>
        <w:t xml:space="preserve">NORBERG-SCHULZ, Christian. </w:t>
      </w:r>
      <w:r>
        <w:rPr>
          <w:rFonts w:ascii="Arial" w:cs="Arial" w:hAnsi="Arial"/>
          <w:b/>
          <w:sz w:val="24"/>
          <w:szCs w:val="24"/>
          <w:lang w:val="en-US"/>
        </w:rPr>
        <w:t>Genius Loci</w:t>
      </w:r>
      <w:r>
        <w:rPr>
          <w:rFonts w:ascii="Arial" w:cs="Arial" w:hAnsi="Arial"/>
          <w:sz w:val="24"/>
          <w:szCs w:val="24"/>
          <w:lang w:val="en-US"/>
        </w:rPr>
        <w:t>. London, Rizzoli, 1979.</w:t>
      </w:r>
    </w:p>
    <w:p>
      <w:pPr>
        <w:pStyle w:val="style0"/>
        <w:jc w:val="both"/>
      </w:pPr>
      <w:r>
        <w:rPr>
          <w:rFonts w:ascii="Arial" w:cs="Arial" w:hAnsi="Arial"/>
          <w:sz w:val="24"/>
          <w:szCs w:val="24"/>
          <w:lang w:val="en-US"/>
        </w:rPr>
      </w:r>
    </w:p>
    <w:p>
      <w:pPr>
        <w:pStyle w:val="style0"/>
        <w:jc w:val="both"/>
      </w:pPr>
      <w:r>
        <w:rPr>
          <w:rFonts w:ascii="Arial" w:cs="Arial" w:hAnsi="Arial"/>
          <w:sz w:val="24"/>
          <w:szCs w:val="24"/>
          <w:lang w:val="en-US"/>
        </w:rPr>
        <w:t xml:space="preserve">OTERO-PAILOS, Jorge. </w:t>
      </w:r>
      <w:r>
        <w:rPr>
          <w:rFonts w:ascii="Arial" w:cs="Arial" w:hAnsi="Arial"/>
          <w:b/>
          <w:bCs/>
          <w:sz w:val="24"/>
          <w:szCs w:val="24"/>
          <w:lang w:val="en-US"/>
        </w:rPr>
        <w:t xml:space="preserve">Architecture's Historical Turn: Phenomenology and the Rise of the Postmodern. </w:t>
      </w:r>
      <w:r>
        <w:rPr>
          <w:rFonts w:ascii="Arial" w:cs="Arial" w:hAnsi="Arial"/>
          <w:bCs/>
          <w:sz w:val="24"/>
          <w:szCs w:val="24"/>
          <w:lang w:val="en-US"/>
        </w:rPr>
        <w:t>Minessota, Univ. of Miness</w:t>
      </w:r>
      <w:r>
        <w:rPr>
          <w:rFonts w:ascii="Arial" w:cs="Arial" w:hAnsi="Arial"/>
          <w:bCs/>
          <w:sz w:val="24"/>
          <w:szCs w:val="24"/>
        </w:rPr>
        <w:t>ota Press, 2010.</w:t>
      </w:r>
    </w:p>
    <w:p>
      <w:pPr>
        <w:pStyle w:val="style0"/>
        <w:jc w:val="both"/>
      </w:pPr>
      <w:r>
        <w:rPr>
          <w:rFonts w:ascii="Arial" w:cs="Arial" w:hAnsi="Arial"/>
          <w:sz w:val="24"/>
          <w:szCs w:val="24"/>
        </w:rPr>
      </w:r>
    </w:p>
    <w:p>
      <w:pPr>
        <w:pStyle w:val="style0"/>
        <w:jc w:val="both"/>
      </w:pPr>
      <w:r>
        <w:rPr>
          <w:rFonts w:ascii="Arial" w:cs="Arial" w:hAnsi="Arial"/>
          <w:sz w:val="24"/>
          <w:szCs w:val="24"/>
        </w:rPr>
        <w:t xml:space="preserve">PALASMAA, Juhani. </w:t>
      </w:r>
      <w:r>
        <w:rPr>
          <w:rFonts w:ascii="Arial" w:cs="Arial" w:hAnsi="Arial"/>
          <w:b/>
          <w:sz w:val="24"/>
          <w:szCs w:val="24"/>
        </w:rPr>
        <w:t>Habitar</w:t>
      </w:r>
      <w:r>
        <w:rPr>
          <w:rFonts w:ascii="Arial" w:cs="Arial" w:hAnsi="Arial"/>
          <w:sz w:val="24"/>
          <w:szCs w:val="24"/>
        </w:rPr>
        <w:t>. Barcelona, Ed. Gustavo Gili, 2016.</w:t>
      </w:r>
    </w:p>
    <w:p>
      <w:pPr>
        <w:pStyle w:val="style0"/>
        <w:jc w:val="both"/>
      </w:pPr>
      <w:r>
        <w:rPr>
          <w:rFonts w:ascii="Arial" w:cs="Arial" w:hAnsi="Arial"/>
          <w:sz w:val="24"/>
          <w:szCs w:val="24"/>
        </w:rPr>
      </w:r>
    </w:p>
    <w:p>
      <w:pPr>
        <w:pStyle w:val="style0"/>
        <w:jc w:val="both"/>
      </w:pPr>
      <w:r>
        <w:rPr>
          <w:rFonts w:ascii="Arial" w:cs="Arial" w:hAnsi="Arial"/>
          <w:sz w:val="24"/>
          <w:szCs w:val="24"/>
        </w:rPr>
        <w:t xml:space="preserve">TUAN, Yi-Fu. Espaço, tempo, lugar: um arcabouço humanista. </w:t>
      </w:r>
      <w:r>
        <w:rPr>
          <w:rFonts w:ascii="Arial" w:cs="Arial" w:hAnsi="Arial"/>
          <w:b/>
          <w:sz w:val="24"/>
          <w:szCs w:val="24"/>
        </w:rPr>
        <w:t>Geograficidade</w:t>
      </w:r>
      <w:r>
        <w:rPr>
          <w:rFonts w:ascii="Arial" w:cs="Arial" w:hAnsi="Arial"/>
          <w:sz w:val="24"/>
          <w:szCs w:val="24"/>
        </w:rPr>
        <w:t>, v. 1, nº 1, 2011. p. 4-15.</w:t>
      </w:r>
    </w:p>
    <w:p>
      <w:pPr>
        <w:pStyle w:val="style0"/>
        <w:jc w:val="both"/>
      </w:pPr>
      <w:r>
        <w:rPr>
          <w:rFonts w:ascii="Arial" w:cs="Arial" w:hAnsi="Arial"/>
          <w:sz w:val="24"/>
          <w:szCs w:val="24"/>
        </w:rPr>
      </w:r>
    </w:p>
    <w:p>
      <w:pPr>
        <w:pStyle w:val="style0"/>
        <w:jc w:val="both"/>
      </w:pPr>
      <w:r>
        <w:rPr>
          <w:rFonts w:ascii="Arial" w:cs="Arial" w:hAnsi="Arial"/>
          <w:sz w:val="24"/>
          <w:szCs w:val="24"/>
        </w:rPr>
        <w:t xml:space="preserve">TUAN, Yi-Fu. A cidade: sua distância da natureza. </w:t>
      </w:r>
      <w:r>
        <w:rPr>
          <w:rFonts w:ascii="Arial" w:cs="Arial" w:hAnsi="Arial"/>
          <w:b/>
          <w:sz w:val="24"/>
          <w:szCs w:val="24"/>
        </w:rPr>
        <w:t>Geograficidade</w:t>
      </w:r>
      <w:r>
        <w:rPr>
          <w:rFonts w:ascii="Arial" w:cs="Arial" w:hAnsi="Arial"/>
          <w:sz w:val="24"/>
          <w:szCs w:val="24"/>
        </w:rPr>
        <w:t>, v. 3, nº 1, 2013. p. 4-16.</w:t>
      </w:r>
    </w:p>
    <w:p>
      <w:pPr>
        <w:pStyle w:val="style0"/>
        <w:jc w:val="both"/>
      </w:pPr>
      <w:r>
        <w:rPr>
          <w:rFonts w:ascii="Arial" w:cs="Arial" w:hAnsi="Arial"/>
          <w:sz w:val="24"/>
          <w:szCs w:val="24"/>
        </w:rPr>
      </w:r>
    </w:p>
    <w:p>
      <w:pPr>
        <w:pStyle w:val="style0"/>
        <w:jc w:val="both"/>
      </w:pPr>
      <w:r>
        <w:rPr>
          <w:rFonts w:ascii="Arial" w:cs="Arial" w:hAnsi="Arial"/>
          <w:sz w:val="24"/>
          <w:szCs w:val="24"/>
        </w:rPr>
        <w:t xml:space="preserve">WASIAK, Jason. Ser-na-cidade: uma aproximação fenomenológica da experiência tecnológica. </w:t>
      </w:r>
      <w:r>
        <w:rPr>
          <w:rFonts w:ascii="Arial" w:cs="Arial" w:hAnsi="Arial"/>
          <w:b/>
          <w:sz w:val="24"/>
          <w:szCs w:val="24"/>
        </w:rPr>
        <w:t>Geograficidade</w:t>
      </w:r>
      <w:r>
        <w:rPr>
          <w:rFonts w:ascii="Arial" w:cs="Arial" w:hAnsi="Arial"/>
          <w:sz w:val="24"/>
          <w:szCs w:val="24"/>
        </w:rPr>
        <w:t>, v. 7, nº 1, 2017. p. 4-20.</w:t>
      </w:r>
    </w:p>
    <w:sectPr>
      <w:type w:val="nextPage"/>
      <w:pgSz w:h="16838" w:w="11906"/>
      <w:pgMar w:bottom="1417" w:footer="0" w:gutter="0" w:header="0" w:left="1701" w:right="1701" w:top="1417"/>
      <w:pgNumType w:fmt="decimal"/>
      <w:formProt w:val="false"/>
      <w:textDirection w:val="lrTb"/>
      <w:docGrid w:charSpace="8192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Estilo padrão"/>
    <w:next w:val="style0"/>
    <w:pPr>
      <w:widowControl/>
      <w:suppressAutoHyphens w:val="true"/>
      <w:spacing w:after="0" w:before="0" w:line="100" w:lineRule="atLeast"/>
      <w:contextualSpacing w:val="false"/>
    </w:pPr>
    <w:rPr>
      <w:rFonts w:ascii="Times New Roman" w:cs="Times New Roman" w:eastAsia="Times New Roman" w:hAnsi="Times New Roman"/>
      <w:color w:val="auto"/>
      <w:sz w:val="20"/>
      <w:szCs w:val="20"/>
      <w:lang w:bidi="ar-SA" w:eastAsia="pt-BR" w:val="pt-BR"/>
    </w:rPr>
  </w:style>
  <w:style w:styleId="style2" w:type="paragraph">
    <w:name w:val="Título 2"/>
    <w:basedOn w:val="style0"/>
    <w:next w:val="style2"/>
    <w:pPr>
      <w:spacing w:after="28" w:before="28"/>
      <w:contextualSpacing w:val="false"/>
    </w:pPr>
    <w:rPr>
      <w:b/>
      <w:bCs/>
      <w:sz w:val="36"/>
      <w:szCs w:val="36"/>
    </w:rPr>
  </w:style>
  <w:style w:styleId="style15" w:type="character">
    <w:name w:val="Default Paragraph Font"/>
    <w:next w:val="style15"/>
    <w:rPr/>
  </w:style>
  <w:style w:styleId="style16" w:type="character">
    <w:name w:val="Título 2 Char"/>
    <w:basedOn w:val="style15"/>
    <w:next w:val="style16"/>
    <w:rPr>
      <w:rFonts w:ascii="Times New Roman" w:cs="Times New Roman" w:eastAsia="Times New Roman" w:hAnsi="Times New Roman"/>
      <w:b/>
      <w:bCs/>
      <w:sz w:val="36"/>
      <w:szCs w:val="36"/>
      <w:lang w:eastAsia="pt-BR"/>
    </w:rPr>
  </w:style>
  <w:style w:styleId="style17" w:type="character">
    <w:name w:val="apple-converted-space"/>
    <w:basedOn w:val="style15"/>
    <w:next w:val="style17"/>
    <w:rPr/>
  </w:style>
  <w:style w:styleId="style18" w:type="paragraph">
    <w:name w:val="Título"/>
    <w:basedOn w:val="style0"/>
    <w:next w:val="style19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19" w:type="paragraph">
    <w:name w:val="Corpo do texto"/>
    <w:basedOn w:val="style0"/>
    <w:next w:val="style19"/>
    <w:pPr>
      <w:spacing w:after="120" w:before="0"/>
      <w:contextualSpacing w:val="false"/>
    </w:pPr>
    <w:rPr/>
  </w:style>
  <w:style w:styleId="style20" w:type="paragraph">
    <w:name w:val="Lista"/>
    <w:basedOn w:val="style19"/>
    <w:next w:val="style20"/>
    <w:pPr/>
    <w:rPr>
      <w:rFonts w:cs="Mangal"/>
    </w:rPr>
  </w:style>
  <w:style w:styleId="style21" w:type="paragraph">
    <w:name w:val="Legenda"/>
    <w:basedOn w:val="style0"/>
    <w:next w:val="style21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2" w:type="paragraph">
    <w:name w:val="Índice"/>
    <w:basedOn w:val="style0"/>
    <w:next w:val="style22"/>
    <w:pPr>
      <w:suppressLineNumbers/>
    </w:pPr>
    <w:rPr>
      <w:rFonts w:cs="Mangal"/>
    </w:rPr>
  </w:style>
  <w:style w:styleId="style23" w:type="paragraph">
    <w:name w:val="Normal (Web)"/>
    <w:basedOn w:val="style0"/>
    <w:next w:val="style23"/>
    <w:pPr>
      <w:spacing w:after="28" w:before="28"/>
      <w:contextualSpacing w:val="false"/>
    </w:pPr>
    <w:rPr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2018-05-26T14:31:00.00Z</dcterms:created>
  <dc:creator>cliente</dc:creator>
  <cp:lastModifiedBy>Alessandro</cp:lastModifiedBy>
  <dcterms:modified xsi:type="dcterms:W3CDTF">2018-05-26T14:31:00.00Z</dcterms:modified>
  <cp:revision>2</cp:revision>
</cp:coreProperties>
</file>